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32" w:rsidRDefault="00874118">
      <w:bookmarkStart w:id="0" w:name="_GoBack"/>
      <w:bookmarkEnd w:id="0"/>
      <w:r>
        <w:rPr>
          <w:rFonts w:ascii="Arial" w:eastAsia="Arial" w:hAnsi="Arial" w:cs="Arial"/>
          <w:b/>
        </w:rPr>
        <w:t>Note:  Broker-dealers are required to disclose any material arrangements with the venues listed in each section below, including, but not limited to, any internalization or payment for order flow arrangements.</w:t>
      </w:r>
    </w:p>
    <w:p w:rsidR="002E1732" w:rsidRDefault="00874118">
      <w:pPr>
        <w:jc w:val="center"/>
      </w:pPr>
      <w:r>
        <w:rPr>
          <w:rFonts w:ascii="Arial" w:eastAsia="Arial" w:hAnsi="Arial" w:cs="Arial"/>
          <w:b/>
          <w:sz w:val="28"/>
        </w:rPr>
        <w:t>FXA</w:t>
      </w:r>
    </w:p>
    <w:p w:rsidR="002E1732" w:rsidRDefault="00874118">
      <w:pPr>
        <w:jc w:val="center"/>
      </w:pPr>
      <w:r>
        <w:rPr>
          <w:rFonts w:ascii="Arial" w:eastAsia="Arial" w:hAnsi="Arial" w:cs="Arial"/>
          <w:b/>
        </w:rPr>
        <w:t>SAGEPOINT FINANCIAL, INC.</w:t>
      </w:r>
      <w:r>
        <w:rPr>
          <w:rFonts w:ascii="Arial" w:eastAsia="Arial" w:hAnsi="Arial" w:cs="Arial"/>
          <w:b/>
        </w:rPr>
        <w:cr/>
        <w:t xml:space="preserve">20 E. THOMAS </w:t>
      </w:r>
      <w:r>
        <w:rPr>
          <w:rFonts w:ascii="Arial" w:eastAsia="Arial" w:hAnsi="Arial" w:cs="Arial"/>
          <w:b/>
        </w:rPr>
        <w:t>ROAD</w:t>
      </w:r>
      <w:r>
        <w:rPr>
          <w:rFonts w:ascii="Arial" w:eastAsia="Arial" w:hAnsi="Arial" w:cs="Arial"/>
          <w:b/>
        </w:rPr>
        <w:cr/>
        <w:t>SUITE 2000</w:t>
      </w:r>
      <w:r>
        <w:rPr>
          <w:rFonts w:ascii="Arial" w:eastAsia="Arial" w:hAnsi="Arial" w:cs="Arial"/>
          <w:b/>
        </w:rPr>
        <w:cr/>
        <w:t>PHOENIX, AZ 85012</w:t>
      </w:r>
      <w:r>
        <w:rPr>
          <w:rFonts w:ascii="Arial" w:eastAsia="Arial" w:hAnsi="Arial" w:cs="Arial"/>
          <w:b/>
        </w:rPr>
        <w:cr/>
      </w:r>
      <w:r>
        <w:rPr>
          <w:rFonts w:ascii="Arial" w:eastAsia="Arial" w:hAnsi="Arial" w:cs="Arial"/>
          <w:b/>
        </w:rPr>
        <w:cr/>
      </w:r>
      <w:r>
        <w:rPr>
          <w:rFonts w:ascii="Arial" w:eastAsia="Arial" w:hAnsi="Arial" w:cs="Arial"/>
          <w:b/>
        </w:rPr>
        <w:cr/>
      </w:r>
      <w:r>
        <w:rPr>
          <w:rFonts w:ascii="Arial" w:eastAsia="Arial" w:hAnsi="Arial" w:cs="Arial"/>
          <w:b/>
          <w:u w:val="single"/>
        </w:rPr>
        <w:t>SEC Rule 606 Quarterly Report for the Quarter Ending June 30, 2018</w:t>
      </w:r>
      <w:r>
        <w:rPr>
          <w:rFonts w:ascii="Arial" w:eastAsia="Arial" w:hAnsi="Arial" w:cs="Arial"/>
          <w:b/>
          <w:u w:val="single"/>
        </w:rPr>
        <w:cr/>
      </w:r>
    </w:p>
    <w:p w:rsidR="002E1732" w:rsidRDefault="00874118">
      <w:pPr>
        <w:jc w:val="center"/>
      </w:pPr>
      <w:r>
        <w:rPr>
          <w:rFonts w:ascii="Arial" w:eastAsia="Arial" w:hAnsi="Arial" w:cs="Arial"/>
          <w:b/>
          <w:sz w:val="18"/>
          <w:u w:val="single"/>
        </w:rPr>
        <w:t>Securities Listed on New York Stock Exchange</w:t>
      </w:r>
      <w:r>
        <w:rPr>
          <w:rFonts w:ascii="Arial" w:eastAsia="Arial" w:hAnsi="Arial" w:cs="Arial"/>
          <w:b/>
          <w:sz w:val="18"/>
          <w:u w:val="single"/>
        </w:rPr>
        <w:cr/>
      </w:r>
    </w:p>
    <w:p w:rsidR="002E1732" w:rsidRDefault="00874118">
      <w:pPr>
        <w:spacing w:after="20"/>
      </w:pPr>
      <w:r>
        <w:rPr>
          <w:rFonts w:ascii="Arial" w:eastAsia="Arial" w:hAnsi="Arial" w:cs="Arial"/>
          <w:b/>
          <w:sz w:val="16"/>
        </w:rPr>
        <w:t>Summary Statistics:</w:t>
      </w:r>
      <w:r>
        <w:rPr>
          <w:rFonts w:ascii="Arial" w:eastAsia="Arial" w:hAnsi="Arial" w:cs="Arial"/>
          <w:b/>
          <w:sz w:val="16"/>
        </w:rPr>
        <w:br/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t xml:space="preserve">  Non-directed orders as percentage of total customer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100.00%</w:t>
      </w:r>
      <w:r>
        <w:rPr>
          <w:rFonts w:ascii="Arial" w:eastAsia="Arial" w:hAnsi="Arial" w:cs="Arial"/>
          <w:sz w:val="16"/>
        </w:rPr>
        <w:br/>
        <w:t xml:space="preserve">  Market order</w:t>
      </w:r>
      <w:r>
        <w:rPr>
          <w:rFonts w:ascii="Arial" w:eastAsia="Arial" w:hAnsi="Arial" w:cs="Arial"/>
          <w:sz w:val="16"/>
        </w:rPr>
        <w:t>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92.23%</w:t>
      </w:r>
      <w:r>
        <w:rPr>
          <w:rFonts w:ascii="Arial" w:eastAsia="Arial" w:hAnsi="Arial" w:cs="Arial"/>
          <w:sz w:val="16"/>
        </w:rPr>
        <w:br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7.00%</w:t>
      </w:r>
      <w:r>
        <w:rPr>
          <w:rFonts w:ascii="Arial" w:eastAsia="Arial" w:hAnsi="Arial" w:cs="Arial"/>
          <w:sz w:val="16"/>
        </w:rPr>
        <w:br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0.78%</w:t>
      </w:r>
      <w:r>
        <w:rPr>
          <w:rFonts w:ascii="Arial" w:eastAsia="Arial" w:hAnsi="Arial" w:cs="Arial"/>
          <w:sz w:val="16"/>
        </w:rPr>
        <w:br/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  <w:u w:val="single"/>
        </w:rPr>
        <w:t>Venues Receiving Significant Percentage of Total Non-Directed Orders: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0"/>
        <w:gridCol w:w="800"/>
      </w:tblGrid>
      <w:tr w:rsidR="002E173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5570" w:type="dxa"/>
          </w:tcPr>
          <w:p w:rsidR="002E1732" w:rsidRDefault="002E1732"/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1. </w:t>
            </w:r>
            <w:r>
              <w:rPr>
                <w:rFonts w:ascii="Arial" w:eastAsia="Arial" w:hAnsi="Arial" w:cs="Arial"/>
                <w:sz w:val="16"/>
              </w:rPr>
              <w:t xml:space="preserve">   VIRTU Americas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43.93%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2.    Citadel Securities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39.60%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3.    G1 Execution Services,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5.00%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4.    Two Sigma Securities,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3.84%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5.    Cboe BYX U.S. Equities Exchange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2.87%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6.    Instinet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1.41%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7.    New York Stock Exchange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0.92%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8.    NASDAQ Execution Services,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0.83%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9.    Cboe EDGX U.S. Equities Exchange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0.58%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    BNY Mellon Capital Markets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0.49%</w:t>
            </w:r>
          </w:p>
        </w:tc>
      </w:tr>
    </w:tbl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>Information Concerning Significant Venues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 xml:space="preserve">    1.    VIRTU Americas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45.42%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29.17%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2.    Citadel Securities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39.73%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31.25%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</w:t>
      </w:r>
      <w:r>
        <w:rPr>
          <w:rFonts w:ascii="Arial" w:eastAsia="Arial" w:hAnsi="Arial" w:cs="Arial"/>
          <w:sz w:val="16"/>
        </w:rPr>
        <w:t>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100.00%</w:t>
      </w:r>
    </w:p>
    <w:p w:rsidR="002E1732" w:rsidRDefault="00874118">
      <w:pPr>
        <w:pageBreakBefore/>
        <w:spacing w:after="20"/>
      </w:pPr>
      <w:r>
        <w:rPr>
          <w:rFonts w:ascii="Arial" w:eastAsia="Arial" w:hAnsi="Arial" w:cs="Arial"/>
          <w:sz w:val="16"/>
        </w:rPr>
        <w:lastRenderedPageBreak/>
        <w:cr/>
        <w:t xml:space="preserve">    3.    G1 Execution Services,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5.32%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1.39%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</w:t>
      </w:r>
      <w:r>
        <w:rPr>
          <w:rFonts w:ascii="Arial" w:eastAsia="Arial" w:hAnsi="Arial" w:cs="Arial"/>
          <w:sz w:val="16"/>
        </w:rPr>
        <w:t>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4.    Two Sigma Securities,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4.00%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 xml:space="preserve">  2.08%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5.    Cboe BYX U.S. Equities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3.06%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</w:t>
      </w:r>
      <w:r>
        <w:rPr>
          <w:rFonts w:ascii="Arial" w:eastAsia="Arial" w:hAnsi="Arial" w:cs="Arial"/>
          <w:sz w:val="16"/>
        </w:rPr>
        <w:t>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0.69%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6.    Instinet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1.48%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0.69%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7.    New York Stock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</w:t>
      </w:r>
      <w:r>
        <w:rPr>
          <w:rFonts w:ascii="Arial" w:eastAsia="Arial" w:hAnsi="Arial" w:cs="Arial"/>
          <w:sz w:val="16"/>
        </w:rPr>
        <w:t xml:space="preserve">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13.19%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8.    NASDAQ Execution Services,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</w:t>
      </w:r>
      <w:r>
        <w:rPr>
          <w:rFonts w:ascii="Arial" w:eastAsia="Arial" w:hAnsi="Arial" w:cs="Arial"/>
          <w:sz w:val="16"/>
        </w:rPr>
        <w:t>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11.81%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9.    Cboe EDGX U.S. Equities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</w:t>
      </w:r>
      <w:r>
        <w:rPr>
          <w:rFonts w:ascii="Arial" w:eastAsia="Arial" w:hAnsi="Arial" w:cs="Arial"/>
          <w:sz w:val="16"/>
        </w:rPr>
        <w:t>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8.33%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10.    BNY Mellon Capital Markets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</w:t>
      </w:r>
      <w:r>
        <w:rPr>
          <w:rFonts w:ascii="Arial" w:eastAsia="Arial" w:hAnsi="Arial" w:cs="Arial"/>
          <w:sz w:val="16"/>
        </w:rPr>
        <w:t xml:space="preserve">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0.53%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pageBreakBefore/>
        <w:jc w:val="center"/>
      </w:pPr>
      <w:r>
        <w:rPr>
          <w:rFonts w:ascii="Arial" w:eastAsia="Arial" w:hAnsi="Arial" w:cs="Arial"/>
          <w:b/>
          <w:sz w:val="18"/>
          <w:u w:val="single"/>
        </w:rPr>
        <w:lastRenderedPageBreak/>
        <w:t>Securities Listed on The Na</w:t>
      </w:r>
      <w:r>
        <w:rPr>
          <w:rFonts w:ascii="Arial" w:eastAsia="Arial" w:hAnsi="Arial" w:cs="Arial"/>
          <w:b/>
          <w:sz w:val="18"/>
          <w:u w:val="single"/>
        </w:rPr>
        <w:t>sdaq Stock Market</w:t>
      </w:r>
      <w:r>
        <w:rPr>
          <w:rFonts w:ascii="Arial" w:eastAsia="Arial" w:hAnsi="Arial" w:cs="Arial"/>
          <w:b/>
          <w:sz w:val="18"/>
          <w:u w:val="single"/>
        </w:rPr>
        <w:cr/>
      </w:r>
    </w:p>
    <w:p w:rsidR="002E1732" w:rsidRDefault="00874118">
      <w:pPr>
        <w:spacing w:after="20"/>
      </w:pPr>
      <w:r>
        <w:rPr>
          <w:rFonts w:ascii="Arial" w:eastAsia="Arial" w:hAnsi="Arial" w:cs="Arial"/>
          <w:b/>
          <w:sz w:val="16"/>
        </w:rPr>
        <w:t>Summary Statistics:</w:t>
      </w:r>
      <w:r>
        <w:rPr>
          <w:rFonts w:ascii="Arial" w:eastAsia="Arial" w:hAnsi="Arial" w:cs="Arial"/>
          <w:b/>
          <w:sz w:val="16"/>
        </w:rPr>
        <w:br/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t xml:space="preserve">  Non-directed orders as percentage of total customer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100.00%</w:t>
      </w:r>
      <w:r>
        <w:rPr>
          <w:rFonts w:ascii="Arial" w:eastAsia="Arial" w:hAnsi="Arial" w:cs="Arial"/>
          <w:sz w:val="16"/>
        </w:rPr>
        <w:br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90.90%</w:t>
      </w:r>
      <w:r>
        <w:rPr>
          <w:rFonts w:ascii="Arial" w:eastAsia="Arial" w:hAnsi="Arial" w:cs="Arial"/>
          <w:sz w:val="16"/>
        </w:rPr>
        <w:br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8.33%</w:t>
      </w:r>
      <w:r>
        <w:rPr>
          <w:rFonts w:ascii="Arial" w:eastAsia="Arial" w:hAnsi="Arial" w:cs="Arial"/>
          <w:sz w:val="16"/>
        </w:rPr>
        <w:br/>
        <w:t xml:space="preserve">  Other orders as</w:t>
      </w:r>
      <w:r>
        <w:rPr>
          <w:rFonts w:ascii="Arial" w:eastAsia="Arial" w:hAnsi="Arial" w:cs="Arial"/>
          <w:sz w:val="16"/>
        </w:rPr>
        <w:t xml:space="preserve">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0.77%</w:t>
      </w:r>
      <w:r>
        <w:rPr>
          <w:rFonts w:ascii="Arial" w:eastAsia="Arial" w:hAnsi="Arial" w:cs="Arial"/>
          <w:sz w:val="16"/>
        </w:rPr>
        <w:br/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  <w:u w:val="single"/>
        </w:rPr>
        <w:t>Venues Receiving Significant Percentage of Total Non-Directed Orders: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0"/>
        <w:gridCol w:w="800"/>
      </w:tblGrid>
      <w:tr w:rsidR="002E173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5570" w:type="dxa"/>
          </w:tcPr>
          <w:p w:rsidR="002E1732" w:rsidRDefault="002E1732"/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1.    VIRTU Americas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43.24%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2.    Citadel Securities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40.81%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3.    Two Sigma Securities,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4.87%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4.    G1 Execution Services,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4.48%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5.    Cboe BYX U.S. Equities Exchange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3.01%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6.    NASDAQ Execution Services,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1.02%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7.    Cboe EDGX U.S. Equities Exchange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0.77%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8.    Instinet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0.64%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9.    BNY Mellon Capital Markets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0.51%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    UBS Securities,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0.38%</w:t>
            </w:r>
          </w:p>
        </w:tc>
      </w:tr>
    </w:tbl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>Information Concerning Significant Venues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1.    VIRTU Americas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</w:t>
      </w:r>
      <w:r>
        <w:rPr>
          <w:rFonts w:ascii="Arial" w:eastAsia="Arial" w:hAnsi="Arial" w:cs="Arial"/>
          <w:sz w:val="16"/>
        </w:rPr>
        <w:t>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44.47%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33.08%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8.33%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2.    Citadel Securities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41.23%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33.85%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66.67%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3.    Two Sigma Securities,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</w:t>
      </w:r>
      <w:r>
        <w:rPr>
          <w:rFonts w:ascii="Arial" w:eastAsia="Arial" w:hAnsi="Arial" w:cs="Arial"/>
          <w:sz w:val="16"/>
        </w:rPr>
        <w:t>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5.14%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2.31%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4.    G1 Execution Services,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</w:t>
      </w:r>
      <w:r>
        <w:rPr>
          <w:rFonts w:ascii="Arial" w:eastAsia="Arial" w:hAnsi="Arial" w:cs="Arial"/>
          <w:sz w:val="16"/>
        </w:rPr>
        <w:t xml:space="preserve">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4.58%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3.85%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pageBreakBefore/>
        <w:spacing w:after="20"/>
      </w:pPr>
      <w:r>
        <w:rPr>
          <w:rFonts w:ascii="Arial" w:eastAsia="Arial" w:hAnsi="Arial" w:cs="Arial"/>
          <w:sz w:val="16"/>
        </w:rPr>
        <w:lastRenderedPageBreak/>
        <w:cr/>
        <w:t xml:space="preserve">    5.    Cboe BYX U.</w:t>
      </w:r>
      <w:r>
        <w:rPr>
          <w:rFonts w:ascii="Arial" w:eastAsia="Arial" w:hAnsi="Arial" w:cs="Arial"/>
          <w:sz w:val="16"/>
        </w:rPr>
        <w:t>S. Equities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3.03%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3.08%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</w:t>
      </w:r>
      <w:r>
        <w:rPr>
          <w:rFonts w:ascii="Arial" w:eastAsia="Arial" w:hAnsi="Arial" w:cs="Arial"/>
          <w:sz w:val="16"/>
        </w:rPr>
        <w:t>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6.    NASDAQ Execution Services,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12.31%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</w:t>
      </w:r>
      <w:r>
        <w:rPr>
          <w:rFonts w:ascii="Arial" w:eastAsia="Arial" w:hAnsi="Arial" w:cs="Arial"/>
          <w:sz w:val="16"/>
        </w:rPr>
        <w:t xml:space="preserve">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7.    Cboe EDGX U.S. Equities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9.23%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>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8.    Instinet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0.70%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</w:t>
      </w:r>
      <w:r>
        <w:rPr>
          <w:rFonts w:ascii="Arial" w:eastAsia="Arial" w:hAnsi="Arial" w:cs="Arial"/>
          <w:sz w:val="16"/>
        </w:rPr>
        <w:t>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9.    BNY Mellon Capital Markets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0.42%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</w:t>
      </w:r>
      <w:r>
        <w:rPr>
          <w:rFonts w:ascii="Arial" w:eastAsia="Arial" w:hAnsi="Arial" w:cs="Arial"/>
          <w:sz w:val="16"/>
        </w:rPr>
        <w:t>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1.54%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10.    UBS Securities,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0.42%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</w:t>
      </w:r>
      <w:r>
        <w:rPr>
          <w:rFonts w:ascii="Arial" w:eastAsia="Arial" w:hAnsi="Arial" w:cs="Arial"/>
          <w:sz w:val="16"/>
        </w:rPr>
        <w:t>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pageBreakBefore/>
        <w:jc w:val="center"/>
      </w:pPr>
      <w:r>
        <w:rPr>
          <w:rFonts w:ascii="Arial" w:eastAsia="Arial" w:hAnsi="Arial" w:cs="Arial"/>
          <w:b/>
          <w:sz w:val="18"/>
          <w:u w:val="single"/>
        </w:rPr>
        <w:lastRenderedPageBreak/>
        <w:t>Securities Listed on NYSE American or Regional Exchanges</w:t>
      </w:r>
      <w:r>
        <w:rPr>
          <w:rFonts w:ascii="Arial" w:eastAsia="Arial" w:hAnsi="Arial" w:cs="Arial"/>
          <w:b/>
          <w:sz w:val="18"/>
          <w:u w:val="single"/>
        </w:rPr>
        <w:cr/>
      </w:r>
    </w:p>
    <w:p w:rsidR="002E1732" w:rsidRDefault="00874118">
      <w:pPr>
        <w:spacing w:after="20"/>
      </w:pPr>
      <w:r>
        <w:rPr>
          <w:rFonts w:ascii="Arial" w:eastAsia="Arial" w:hAnsi="Arial" w:cs="Arial"/>
          <w:b/>
          <w:sz w:val="16"/>
        </w:rPr>
        <w:t>Summary Statistics:</w:t>
      </w:r>
      <w:r>
        <w:rPr>
          <w:rFonts w:ascii="Arial" w:eastAsia="Arial" w:hAnsi="Arial" w:cs="Arial"/>
          <w:b/>
          <w:sz w:val="16"/>
        </w:rPr>
        <w:br/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t xml:space="preserve">  Non-directed orders as percentage of total customer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>100.00%</w:t>
      </w:r>
      <w:r>
        <w:rPr>
          <w:rFonts w:ascii="Arial" w:eastAsia="Arial" w:hAnsi="Arial" w:cs="Arial"/>
          <w:sz w:val="16"/>
        </w:rPr>
        <w:br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95.50%</w:t>
      </w:r>
      <w:r>
        <w:rPr>
          <w:rFonts w:ascii="Arial" w:eastAsia="Arial" w:hAnsi="Arial" w:cs="Arial"/>
          <w:sz w:val="16"/>
        </w:rPr>
        <w:br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4.42%</w:t>
      </w:r>
      <w:r>
        <w:rPr>
          <w:rFonts w:ascii="Arial" w:eastAsia="Arial" w:hAnsi="Arial" w:cs="Arial"/>
          <w:sz w:val="16"/>
        </w:rPr>
        <w:br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0.08%</w:t>
      </w:r>
      <w:r>
        <w:rPr>
          <w:rFonts w:ascii="Arial" w:eastAsia="Arial" w:hAnsi="Arial" w:cs="Arial"/>
          <w:sz w:val="16"/>
        </w:rPr>
        <w:br/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  <w:u w:val="single"/>
        </w:rPr>
        <w:t>Venues Receiving Significant Percentage of Total Non-Di</w:t>
      </w:r>
      <w:r>
        <w:rPr>
          <w:rFonts w:ascii="Arial" w:eastAsia="Arial" w:hAnsi="Arial" w:cs="Arial"/>
          <w:sz w:val="16"/>
          <w:u w:val="single"/>
        </w:rPr>
        <w:t>rected Orders: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0"/>
        <w:gridCol w:w="800"/>
      </w:tblGrid>
      <w:tr w:rsidR="002E173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5570" w:type="dxa"/>
          </w:tcPr>
          <w:p w:rsidR="002E1732" w:rsidRDefault="002E1732"/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1.    VIRTU Americas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40.85%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2.    Citadel Securities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39.71%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3.    Cboe BYX U.S. Equities Exchange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6.23%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4.    G1 Execution Services,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4.46%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5.    Two Sigma Securities,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4.33%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6.    Instinet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2.44%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7.    NASDAQ Execution Services,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0.38%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8.    UBS Securities,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0.38%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9.    NYSE Arca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0.29%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    BNY Mellon Capital Markets LLC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0.29%</w:t>
            </w:r>
          </w:p>
        </w:tc>
      </w:tr>
    </w:tbl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>Information Concerning Significant Venues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1.    VIRTU Americas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41.32%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29.52%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100.00%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2.    Citadel S</w:t>
      </w:r>
      <w:r>
        <w:rPr>
          <w:rFonts w:ascii="Arial" w:eastAsia="Arial" w:hAnsi="Arial" w:cs="Arial"/>
          <w:sz w:val="16"/>
        </w:rPr>
        <w:t>ecurities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39.74%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40.00%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</w:t>
      </w:r>
      <w:r>
        <w:rPr>
          <w:rFonts w:ascii="Arial" w:eastAsia="Arial" w:hAnsi="Arial" w:cs="Arial"/>
          <w:sz w:val="16"/>
        </w:rPr>
        <w:t xml:space="preserve">  3.    Cboe BYX U.S. Equities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6.43%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1.90%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</w:t>
      </w:r>
      <w:r>
        <w:rPr>
          <w:rFonts w:ascii="Arial" w:eastAsia="Arial" w:hAnsi="Arial" w:cs="Arial"/>
          <w:sz w:val="16"/>
        </w:rPr>
        <w:t>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4.    G1 Execution Services,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4.58%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1.90%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</w:t>
      </w:r>
      <w:r>
        <w:rPr>
          <w:rFonts w:ascii="Arial" w:eastAsia="Arial" w:hAnsi="Arial" w:cs="Arial"/>
          <w:sz w:val="16"/>
        </w:rPr>
        <w:t>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pageBreakBefore/>
        <w:spacing w:after="20"/>
      </w:pPr>
      <w:r>
        <w:rPr>
          <w:rFonts w:ascii="Arial" w:eastAsia="Arial" w:hAnsi="Arial" w:cs="Arial"/>
          <w:sz w:val="16"/>
        </w:rPr>
        <w:lastRenderedPageBreak/>
        <w:cr/>
        <w:t xml:space="preserve">    5.    Two Sigma Securities,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4.49%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</w:t>
      </w:r>
      <w:r>
        <w:rPr>
          <w:rFonts w:ascii="Arial" w:eastAsia="Arial" w:hAnsi="Arial" w:cs="Arial"/>
          <w:sz w:val="16"/>
        </w:rPr>
        <w:t>0.95%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6.    Instinet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2.56%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</w:t>
      </w:r>
      <w:r>
        <w:rPr>
          <w:rFonts w:ascii="Arial" w:eastAsia="Arial" w:hAnsi="Arial" w:cs="Arial"/>
          <w:sz w:val="16"/>
        </w:rPr>
        <w:t>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7.    NASDAQ Execution Services,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</w:t>
      </w:r>
      <w:r>
        <w:rPr>
          <w:rFonts w:ascii="Arial" w:eastAsia="Arial" w:hAnsi="Arial" w:cs="Arial"/>
          <w:sz w:val="16"/>
        </w:rPr>
        <w:t>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8.57%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8.    UBS Securities,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0.40%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</w:t>
      </w:r>
      <w:r>
        <w:rPr>
          <w:rFonts w:ascii="Arial" w:eastAsia="Arial" w:hAnsi="Arial" w:cs="Arial"/>
          <w:sz w:val="16"/>
        </w:rPr>
        <w:t>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9.    NYSE Arca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6.67%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10.    BNY Mellon Capital Markets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</w:t>
      </w:r>
      <w:r>
        <w:rPr>
          <w:rFonts w:ascii="Arial" w:eastAsia="Arial" w:hAnsi="Arial" w:cs="Arial"/>
          <w:sz w:val="16"/>
        </w:rPr>
        <w:t>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0.31%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pageBreakBefore/>
        <w:jc w:val="center"/>
      </w:pPr>
      <w:r>
        <w:rPr>
          <w:rFonts w:ascii="Arial" w:eastAsia="Arial" w:hAnsi="Arial" w:cs="Arial"/>
          <w:b/>
          <w:sz w:val="18"/>
          <w:u w:val="single"/>
        </w:rPr>
        <w:lastRenderedPageBreak/>
        <w:t>Exchange - Listed Options</w:t>
      </w:r>
      <w:r>
        <w:rPr>
          <w:rFonts w:ascii="Arial" w:eastAsia="Arial" w:hAnsi="Arial" w:cs="Arial"/>
          <w:b/>
          <w:sz w:val="18"/>
          <w:u w:val="single"/>
        </w:rPr>
        <w:cr/>
      </w:r>
    </w:p>
    <w:p w:rsidR="002E1732" w:rsidRDefault="00874118">
      <w:pPr>
        <w:spacing w:after="20"/>
      </w:pPr>
      <w:r>
        <w:rPr>
          <w:rFonts w:ascii="Arial" w:eastAsia="Arial" w:hAnsi="Arial" w:cs="Arial"/>
          <w:b/>
          <w:sz w:val="16"/>
        </w:rPr>
        <w:t>Summary Statistics:</w:t>
      </w:r>
      <w:r>
        <w:rPr>
          <w:rFonts w:ascii="Arial" w:eastAsia="Arial" w:hAnsi="Arial" w:cs="Arial"/>
          <w:b/>
          <w:sz w:val="16"/>
        </w:rPr>
        <w:br/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t xml:space="preserve">  Non-directed orders as percentage of total customer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100.00%</w:t>
      </w:r>
      <w:r>
        <w:rPr>
          <w:rFonts w:ascii="Arial" w:eastAsia="Arial" w:hAnsi="Arial" w:cs="Arial"/>
          <w:sz w:val="16"/>
        </w:rPr>
        <w:br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25.86%</w:t>
      </w:r>
      <w:r>
        <w:rPr>
          <w:rFonts w:ascii="Arial" w:eastAsia="Arial" w:hAnsi="Arial" w:cs="Arial"/>
          <w:sz w:val="16"/>
        </w:rPr>
        <w:br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74.14%</w:t>
      </w:r>
      <w:r>
        <w:rPr>
          <w:rFonts w:ascii="Arial" w:eastAsia="Arial" w:hAnsi="Arial" w:cs="Arial"/>
          <w:sz w:val="16"/>
        </w:rPr>
        <w:br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</w:t>
      </w:r>
      <w:r>
        <w:rPr>
          <w:rFonts w:ascii="Arial" w:eastAsia="Arial" w:hAnsi="Arial" w:cs="Arial"/>
          <w:sz w:val="16"/>
        </w:rPr>
        <w:t>0.00%</w:t>
      </w:r>
      <w:r>
        <w:rPr>
          <w:rFonts w:ascii="Arial" w:eastAsia="Arial" w:hAnsi="Arial" w:cs="Arial"/>
          <w:sz w:val="16"/>
        </w:rPr>
        <w:br/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  <w:u w:val="single"/>
        </w:rPr>
        <w:t>Venues Receiving Significant Percentage of Total Non-Directed Orders: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0"/>
        <w:gridCol w:w="800"/>
      </w:tblGrid>
      <w:tr w:rsidR="002E173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5570" w:type="dxa"/>
          </w:tcPr>
          <w:p w:rsidR="002E1732" w:rsidRDefault="002E1732"/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1.    Cboe Options Exchange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24.14%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2.    NASDAQ Options Market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17.24%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3.    The MIAX Options Exchange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13.79%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4.    NYSE Arca Options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12.07%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5.    NYSE American Options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8.62%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6.    ISE Gemini Options Exchange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8.62%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7.    NASDAQ PHLX Options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8.62%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8.    Cboe EDGX Option Exchange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3.45%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9.    Cboe BZX Options Exchange, Inc.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1.72%</w:t>
            </w:r>
          </w:p>
        </w:tc>
      </w:tr>
      <w:tr w:rsidR="002E173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E1732" w:rsidRDefault="0087411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    BOX Option Exchange</w:t>
            </w:r>
          </w:p>
        </w:tc>
        <w:tc>
          <w:tcPr>
            <w:tcW w:w="800" w:type="dxa"/>
          </w:tcPr>
          <w:p w:rsidR="002E1732" w:rsidRDefault="0087411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1.72%</w:t>
            </w:r>
          </w:p>
        </w:tc>
      </w:tr>
    </w:tbl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>Information Concerning Significant Venues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1.    Cboe Options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33.33%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20.93%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</w:t>
      </w:r>
      <w:r>
        <w:rPr>
          <w:rFonts w:ascii="Arial" w:eastAsia="Arial" w:hAnsi="Arial" w:cs="Arial"/>
          <w:sz w:val="16"/>
        </w:rPr>
        <w:t>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2.    NASDAQ Options Market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</w:t>
      </w:r>
      <w:r>
        <w:rPr>
          <w:rFonts w:ascii="Arial" w:eastAsia="Arial" w:hAnsi="Arial" w:cs="Arial"/>
          <w:sz w:val="16"/>
        </w:rPr>
        <w:t>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23.26%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3.    The MIAX Options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20.00%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</w:t>
      </w:r>
      <w:r>
        <w:rPr>
          <w:rFonts w:ascii="Arial" w:eastAsia="Arial" w:hAnsi="Arial" w:cs="Arial"/>
          <w:sz w:val="16"/>
        </w:rPr>
        <w:t>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11.63%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4.    NYSE Arca Options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</w:t>
      </w:r>
      <w:r>
        <w:rPr>
          <w:rFonts w:ascii="Arial" w:eastAsia="Arial" w:hAnsi="Arial" w:cs="Arial"/>
          <w:sz w:val="16"/>
        </w:rPr>
        <w:t>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16.28%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pageBreakBefore/>
        <w:spacing w:after="20"/>
      </w:pPr>
      <w:r>
        <w:rPr>
          <w:rFonts w:ascii="Arial" w:eastAsia="Arial" w:hAnsi="Arial" w:cs="Arial"/>
          <w:sz w:val="16"/>
        </w:rPr>
        <w:lastRenderedPageBreak/>
        <w:cr/>
        <w:t xml:space="preserve">    5.    NYSE American Options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26.67%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2.33%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6.    ISE Gemini Options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</w:t>
      </w:r>
      <w:r>
        <w:rPr>
          <w:rFonts w:ascii="Arial" w:eastAsia="Arial" w:hAnsi="Arial" w:cs="Arial"/>
          <w:sz w:val="16"/>
        </w:rPr>
        <w:t>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11.63%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7.    NASDAQ PHLX Options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</w:t>
      </w:r>
      <w:r>
        <w:rPr>
          <w:rFonts w:ascii="Arial" w:eastAsia="Arial" w:hAnsi="Arial" w:cs="Arial"/>
          <w:sz w:val="16"/>
        </w:rPr>
        <w:t>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13.33%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6.98%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8.    Cboe EDGX Option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</w:t>
      </w:r>
      <w:r>
        <w:rPr>
          <w:rFonts w:ascii="Arial" w:eastAsia="Arial" w:hAnsi="Arial" w:cs="Arial"/>
          <w:sz w:val="16"/>
        </w:rPr>
        <w:t>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4.65%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9.    Cboe BZX Options Exchange, Inc.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</w:t>
      </w:r>
      <w:r>
        <w:rPr>
          <w:rFonts w:ascii="Arial" w:eastAsia="Arial" w:hAnsi="Arial" w:cs="Arial"/>
          <w:sz w:val="16"/>
        </w:rPr>
        <w:t>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2.33%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2E1732" w:rsidRDefault="00874118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10.    BOX Option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</w:t>
      </w:r>
      <w:r>
        <w:rPr>
          <w:rFonts w:ascii="Arial" w:eastAsia="Arial" w:hAnsi="Arial" w:cs="Arial"/>
          <w:sz w:val="16"/>
        </w:rPr>
        <w:t xml:space="preserve">    Types of Orders Routed to Venue :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6.67%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sectPr w:rsidR="002E1732">
      <w:footerReference w:type="default" r:id="rId6"/>
      <w:pgSz w:w="12240" w:h="15840"/>
      <w:pgMar w:top="600" w:right="720" w:bottom="720" w:left="7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18" w:rsidRDefault="00874118">
      <w:pPr>
        <w:spacing w:after="0" w:line="240" w:lineRule="auto"/>
      </w:pPr>
      <w:r>
        <w:separator/>
      </w:r>
    </w:p>
  </w:endnote>
  <w:endnote w:type="continuationSeparator" w:id="0">
    <w:p w:rsidR="00874118" w:rsidRDefault="0087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32" w:rsidRDefault="00874118">
    <w:pPr>
      <w:jc w:val="right"/>
    </w:pPr>
    <w:r>
      <w:t xml:space="preserve">Page </w:t>
    </w:r>
    <w:r>
      <w:pgNum/>
    </w:r>
    <w:r>
      <w:t xml:space="preserve">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18" w:rsidRDefault="00874118">
      <w:pPr>
        <w:spacing w:after="0" w:line="240" w:lineRule="auto"/>
      </w:pPr>
      <w:r>
        <w:separator/>
      </w:r>
    </w:p>
  </w:footnote>
  <w:footnote w:type="continuationSeparator" w:id="0">
    <w:p w:rsidR="00874118" w:rsidRDefault="0087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732"/>
    <w:rsid w:val="00294B39"/>
    <w:rsid w:val="002E1732"/>
    <w:rsid w:val="008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93C4A-5AC1-4E8A-8889-184A771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Hansen, Eric</cp:lastModifiedBy>
  <cp:revision>2</cp:revision>
  <dcterms:created xsi:type="dcterms:W3CDTF">2018-09-22T04:53:00Z</dcterms:created>
  <dcterms:modified xsi:type="dcterms:W3CDTF">2018-09-22T04:53:00Z</dcterms:modified>
</cp:coreProperties>
</file>