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96" w:rsidRDefault="00F421C1">
      <w:bookmarkStart w:id="0" w:name="_GoBack"/>
      <w:bookmarkEnd w:id="0"/>
      <w:r>
        <w:rPr>
          <w:rFonts w:ascii="Arial" w:eastAsia="Arial" w:hAnsi="Arial" w:cs="Arial"/>
          <w:b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 w:rsidR="00CA5496" w:rsidRDefault="00F421C1">
      <w:pPr>
        <w:jc w:val="center"/>
      </w:pPr>
      <w:r>
        <w:rPr>
          <w:rFonts w:ascii="Arial" w:eastAsia="Arial" w:hAnsi="Arial" w:cs="Arial"/>
          <w:b/>
          <w:sz w:val="28"/>
        </w:rPr>
        <w:t>FL2</w:t>
      </w:r>
    </w:p>
    <w:p w:rsidR="00CA5496" w:rsidRDefault="00F421C1">
      <w:pPr>
        <w:jc w:val="center"/>
      </w:pPr>
      <w:r>
        <w:rPr>
          <w:rFonts w:ascii="Arial" w:eastAsia="Arial" w:hAnsi="Arial" w:cs="Arial"/>
          <w:b/>
        </w:rPr>
        <w:t>FSC SECURITIES CORPORATION</w:t>
      </w:r>
      <w:r>
        <w:rPr>
          <w:rFonts w:ascii="Arial" w:eastAsia="Arial" w:hAnsi="Arial" w:cs="Arial"/>
          <w:b/>
        </w:rPr>
        <w:cr/>
        <w:t xml:space="preserve">2300 WINDY </w:t>
      </w:r>
      <w:r>
        <w:rPr>
          <w:rFonts w:ascii="Arial" w:eastAsia="Arial" w:hAnsi="Arial" w:cs="Arial"/>
          <w:b/>
        </w:rPr>
        <w:t>RIDGE PARKWAY</w:t>
      </w:r>
      <w:r>
        <w:rPr>
          <w:rFonts w:ascii="Arial" w:eastAsia="Arial" w:hAnsi="Arial" w:cs="Arial"/>
          <w:b/>
        </w:rPr>
        <w:cr/>
        <w:t>SUITE 1100</w:t>
      </w:r>
      <w:r>
        <w:rPr>
          <w:rFonts w:ascii="Arial" w:eastAsia="Arial" w:hAnsi="Arial" w:cs="Arial"/>
          <w:b/>
        </w:rPr>
        <w:cr/>
        <w:t>ATLANTA, GA 30339</w:t>
      </w:r>
      <w:r>
        <w:rPr>
          <w:rFonts w:ascii="Arial" w:eastAsia="Arial" w:hAnsi="Arial" w:cs="Arial"/>
          <w:b/>
        </w:rPr>
        <w:cr/>
      </w:r>
      <w:r>
        <w:rPr>
          <w:rFonts w:ascii="Arial" w:eastAsia="Arial" w:hAnsi="Arial" w:cs="Arial"/>
          <w:b/>
        </w:rPr>
        <w:cr/>
      </w:r>
      <w:r>
        <w:rPr>
          <w:rFonts w:ascii="Arial" w:eastAsia="Arial" w:hAnsi="Arial" w:cs="Arial"/>
          <w:b/>
        </w:rPr>
        <w:cr/>
      </w:r>
      <w:r>
        <w:rPr>
          <w:rFonts w:ascii="Arial" w:eastAsia="Arial" w:hAnsi="Arial" w:cs="Arial"/>
          <w:b/>
          <w:u w:val="single"/>
        </w:rPr>
        <w:t>SEC Rule 606 Quarterly Report for the Quarter Ending June 30, 2018</w:t>
      </w:r>
      <w:r>
        <w:rPr>
          <w:rFonts w:ascii="Arial" w:eastAsia="Arial" w:hAnsi="Arial" w:cs="Arial"/>
          <w:b/>
          <w:u w:val="single"/>
        </w:rPr>
        <w:cr/>
      </w:r>
    </w:p>
    <w:p w:rsidR="00CA5496" w:rsidRDefault="00F421C1">
      <w:pPr>
        <w:jc w:val="center"/>
      </w:pPr>
      <w:r>
        <w:rPr>
          <w:rFonts w:ascii="Arial" w:eastAsia="Arial" w:hAnsi="Arial" w:cs="Arial"/>
          <w:b/>
          <w:sz w:val="18"/>
          <w:u w:val="single"/>
        </w:rPr>
        <w:t>Securities Listed on New York Stock Exchange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CA5496" w:rsidRDefault="00F421C1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t xml:space="preserve">  Non-directed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Mar</w:t>
      </w:r>
      <w:r>
        <w:rPr>
          <w:rFonts w:ascii="Arial" w:eastAsia="Arial" w:hAnsi="Arial" w:cs="Arial"/>
          <w:sz w:val="16"/>
        </w:rPr>
        <w:t>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96.36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br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3.64%</w:t>
      </w:r>
      <w:r>
        <w:rPr>
          <w:rFonts w:ascii="Arial" w:eastAsia="Arial" w:hAnsi="Arial" w:cs="Arial"/>
          <w:sz w:val="16"/>
        </w:rPr>
        <w:br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  <w:u w:val="single"/>
        </w:rPr>
        <w:t>Venues Receiving Significant Percentage of Total Non-Directed Orders</w:t>
      </w:r>
      <w:r>
        <w:rPr>
          <w:rFonts w:ascii="Arial" w:eastAsia="Arial" w:hAnsi="Arial" w:cs="Arial"/>
          <w:sz w:val="16"/>
          <w:u w:val="single"/>
        </w:rPr>
        <w:t>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0"/>
        <w:gridCol w:w="800"/>
      </w:tblGrid>
      <w:tr w:rsidR="00CA549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5570" w:type="dxa"/>
          </w:tcPr>
          <w:p w:rsidR="00CA5496" w:rsidRDefault="00CA5496"/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1.    VIRTU Americas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45.45%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2.    Citadel Securities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35.76%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3.    G1 Execution Services,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8.48%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4.  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Cboe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BYX U.S. Equities Exchange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4.85%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5.    Two Sigma Securities,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3.03%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6.    Instinet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1.82%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7.    NASDAQ Execution Services,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0.61%</w:t>
            </w:r>
          </w:p>
        </w:tc>
      </w:tr>
    </w:tbl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Information Concerning Significant </w:t>
      </w:r>
      <w:proofErr w:type="gramStart"/>
      <w:r>
        <w:rPr>
          <w:rFonts w:ascii="Arial" w:eastAsia="Arial" w:hAnsi="Arial" w:cs="Arial"/>
          <w:sz w:val="16"/>
        </w:rPr>
        <w:t>Venues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1.    VIRTU Americas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44.65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</w:t>
      </w:r>
      <w:r>
        <w:rPr>
          <w:rFonts w:ascii="Arial" w:eastAsia="Arial" w:hAnsi="Arial" w:cs="Arial"/>
          <w:sz w:val="16"/>
        </w:rPr>
        <w:t>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66.67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2.    Citadel Securities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36.48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</w:t>
      </w:r>
      <w:r>
        <w:rPr>
          <w:rFonts w:ascii="Arial" w:eastAsia="Arial" w:hAnsi="Arial" w:cs="Arial"/>
          <w:sz w:val="16"/>
        </w:rPr>
        <w:t>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16.67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pageBreakBefore/>
        <w:spacing w:after="20"/>
      </w:pPr>
      <w:r>
        <w:rPr>
          <w:rFonts w:ascii="Arial" w:eastAsia="Arial" w:hAnsi="Arial" w:cs="Arial"/>
          <w:sz w:val="16"/>
        </w:rPr>
        <w:lastRenderedPageBreak/>
        <w:cr/>
        <w:t xml:space="preserve">    3.    G1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8.81%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4.    </w:t>
      </w:r>
      <w:proofErr w:type="spellStart"/>
      <w:r>
        <w:rPr>
          <w:rFonts w:ascii="Arial" w:eastAsia="Arial" w:hAnsi="Arial" w:cs="Arial"/>
          <w:sz w:val="16"/>
        </w:rPr>
        <w:t>Cboe</w:t>
      </w:r>
      <w:proofErr w:type="spellEnd"/>
      <w:r>
        <w:rPr>
          <w:rFonts w:ascii="Arial" w:eastAsia="Arial" w:hAnsi="Arial" w:cs="Arial"/>
          <w:sz w:val="16"/>
        </w:rPr>
        <w:t xml:space="preserve"> BYX U.S.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</w:t>
      </w:r>
      <w:r>
        <w:rPr>
          <w:rFonts w:ascii="Arial" w:eastAsia="Arial" w:hAnsi="Arial" w:cs="Arial"/>
          <w:sz w:val="16"/>
        </w:rPr>
        <w:t xml:space="preserve">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5.03%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5.    Two Sigma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3.14%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6.    Ins</w:t>
      </w:r>
      <w:r>
        <w:rPr>
          <w:rFonts w:ascii="Arial" w:eastAsia="Arial" w:hAnsi="Arial" w:cs="Arial"/>
          <w:sz w:val="16"/>
        </w:rPr>
        <w:t>tinet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1.89%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</w:t>
      </w:r>
      <w:r>
        <w:rPr>
          <w:rFonts w:ascii="Arial" w:eastAsia="Arial" w:hAnsi="Arial" w:cs="Arial"/>
          <w:sz w:val="16"/>
        </w:rPr>
        <w:t>7.    NASDAQ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16.67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</w:t>
      </w:r>
      <w:r>
        <w:rPr>
          <w:rFonts w:ascii="Arial" w:eastAsia="Arial" w:hAnsi="Arial" w:cs="Arial"/>
          <w:sz w:val="16"/>
        </w:rPr>
        <w:t>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pageBreakBefore/>
        <w:jc w:val="center"/>
      </w:pPr>
      <w:r>
        <w:rPr>
          <w:rFonts w:ascii="Arial" w:eastAsia="Arial" w:hAnsi="Arial" w:cs="Arial"/>
          <w:b/>
          <w:sz w:val="18"/>
          <w:u w:val="single"/>
        </w:rPr>
        <w:lastRenderedPageBreak/>
        <w:t>Securities Listed on The Nasdaq Stock Market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CA5496" w:rsidRDefault="00F421C1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t xml:space="preserve">  Non-directed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Limit orders as percentage of to</w:t>
      </w:r>
      <w:r>
        <w:rPr>
          <w:rFonts w:ascii="Arial" w:eastAsia="Arial" w:hAnsi="Arial" w:cs="Arial"/>
          <w:sz w:val="16"/>
        </w:rPr>
        <w:t>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  <w:u w:val="single"/>
        </w:rPr>
        <w:t>Venues Receiving Significant Percentage of Total Non-Directed Orders: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0"/>
        <w:gridCol w:w="800"/>
      </w:tblGrid>
      <w:tr w:rsidR="00CA549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5570" w:type="dxa"/>
          </w:tcPr>
          <w:p w:rsidR="00CA5496" w:rsidRDefault="00CA5496"/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1.    VIRTU Americas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50.91%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2.    Citadel Securities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29.09%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3.    G1 Execution Services,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5.45%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4.    Instinet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5.45%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5.  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Cboe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BYX U.S. Equities Exchange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5.45%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6.    BNY Mellon Capital Markets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1.82%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7.    Two Sigma Securities,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1.82%</w:t>
            </w:r>
          </w:p>
        </w:tc>
      </w:tr>
    </w:tbl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Information Concerning Significant </w:t>
      </w:r>
      <w:proofErr w:type="gramStart"/>
      <w:r>
        <w:rPr>
          <w:rFonts w:ascii="Arial" w:eastAsia="Arial" w:hAnsi="Arial" w:cs="Arial"/>
          <w:sz w:val="16"/>
        </w:rPr>
        <w:t>Venues</w:t>
      </w:r>
      <w:r>
        <w:rPr>
          <w:rFonts w:ascii="Arial" w:eastAsia="Arial" w:hAnsi="Arial" w:cs="Arial"/>
          <w:sz w:val="16"/>
        </w:rPr>
        <w:t xml:space="preserve">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1.    VIRTU Americas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50.91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</w:t>
      </w:r>
      <w:r>
        <w:rPr>
          <w:rFonts w:ascii="Arial" w:eastAsia="Arial" w:hAnsi="Arial" w:cs="Arial"/>
          <w:sz w:val="16"/>
        </w:rPr>
        <w:t>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2.    Citadel Securities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29.09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3.    G1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5.45%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</w:t>
      </w:r>
      <w:r>
        <w:rPr>
          <w:rFonts w:ascii="Arial" w:eastAsia="Arial" w:hAnsi="Arial" w:cs="Arial"/>
          <w:sz w:val="16"/>
        </w:rPr>
        <w:t>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4.    Instinet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5.45%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</w:t>
      </w:r>
      <w:r>
        <w:rPr>
          <w:rFonts w:ascii="Arial" w:eastAsia="Arial" w:hAnsi="Arial" w:cs="Arial"/>
          <w:sz w:val="16"/>
        </w:rPr>
        <w:t>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pageBreakBefore/>
        <w:spacing w:after="20"/>
      </w:pPr>
      <w:r>
        <w:rPr>
          <w:rFonts w:ascii="Arial" w:eastAsia="Arial" w:hAnsi="Arial" w:cs="Arial"/>
          <w:sz w:val="16"/>
        </w:rPr>
        <w:lastRenderedPageBreak/>
        <w:cr/>
        <w:t xml:space="preserve">    5.    </w:t>
      </w:r>
      <w:proofErr w:type="spellStart"/>
      <w:r>
        <w:rPr>
          <w:rFonts w:ascii="Arial" w:eastAsia="Arial" w:hAnsi="Arial" w:cs="Arial"/>
          <w:sz w:val="16"/>
        </w:rPr>
        <w:t>Cboe</w:t>
      </w:r>
      <w:proofErr w:type="spellEnd"/>
      <w:r>
        <w:rPr>
          <w:rFonts w:ascii="Arial" w:eastAsia="Arial" w:hAnsi="Arial" w:cs="Arial"/>
          <w:sz w:val="16"/>
        </w:rPr>
        <w:t xml:space="preserve"> BYX U.S.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5.45%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</w:t>
      </w:r>
      <w:r>
        <w:rPr>
          <w:rFonts w:ascii="Arial" w:eastAsia="Arial" w:hAnsi="Arial" w:cs="Arial"/>
          <w:sz w:val="16"/>
        </w:rPr>
        <w:t>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6.    BNY Mellon Capital Markets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</w:t>
      </w:r>
      <w:r>
        <w:rPr>
          <w:rFonts w:ascii="Arial" w:eastAsia="Arial" w:hAnsi="Arial" w:cs="Arial"/>
          <w:sz w:val="16"/>
        </w:rPr>
        <w:t>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1.82%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7.    Two Sigma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</w:t>
      </w:r>
      <w:r>
        <w:rPr>
          <w:rFonts w:ascii="Arial" w:eastAsia="Arial" w:hAnsi="Arial" w:cs="Arial"/>
          <w:sz w:val="16"/>
        </w:rPr>
        <w:t>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1.82%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pageBreakBefore/>
        <w:jc w:val="center"/>
      </w:pPr>
      <w:r>
        <w:rPr>
          <w:rFonts w:ascii="Arial" w:eastAsia="Arial" w:hAnsi="Arial" w:cs="Arial"/>
          <w:b/>
          <w:sz w:val="18"/>
          <w:u w:val="single"/>
        </w:rPr>
        <w:lastRenderedPageBreak/>
        <w:t>Securities Listed on NYSE American or Regional Exchanges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CA5496" w:rsidRDefault="00F421C1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t xml:space="preserve">  Non</w:t>
      </w:r>
      <w:r>
        <w:rPr>
          <w:rFonts w:ascii="Arial" w:eastAsia="Arial" w:hAnsi="Arial" w:cs="Arial"/>
          <w:sz w:val="16"/>
        </w:rPr>
        <w:t>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100.00%</w:t>
      </w:r>
      <w:r>
        <w:rPr>
          <w:rFonts w:ascii="Arial" w:eastAsia="Arial" w:hAnsi="Arial" w:cs="Arial"/>
          <w:sz w:val="16"/>
        </w:rPr>
        <w:br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  <w:u w:val="single"/>
        </w:rPr>
        <w:t>Venues Receiving Significant Percentage of Total Non-Directed Orders: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0"/>
        <w:gridCol w:w="800"/>
      </w:tblGrid>
      <w:tr w:rsidR="00CA5496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5570" w:type="dxa"/>
          </w:tcPr>
          <w:p w:rsidR="00CA5496" w:rsidRDefault="00CA5496"/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1.    VIRTU Americas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51.25%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2.    Citadel Securities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37.50%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3.    G1 Execution Services,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6.25%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4.  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Cboe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BYX U.S. Equities Exchange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2.50%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5.    Instinet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1.25%</w:t>
            </w:r>
          </w:p>
        </w:tc>
      </w:tr>
      <w:tr w:rsidR="00CA549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A5496" w:rsidRDefault="00F421C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6.    Two Sigma Securities, LLC</w:t>
            </w:r>
          </w:p>
        </w:tc>
        <w:tc>
          <w:tcPr>
            <w:tcW w:w="800" w:type="dxa"/>
          </w:tcPr>
          <w:p w:rsidR="00CA5496" w:rsidRDefault="00F421C1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1.25%</w:t>
            </w:r>
          </w:p>
        </w:tc>
      </w:tr>
    </w:tbl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Information Concerning Significant </w:t>
      </w:r>
      <w:proofErr w:type="gramStart"/>
      <w:r>
        <w:rPr>
          <w:rFonts w:ascii="Arial" w:eastAsia="Arial" w:hAnsi="Arial" w:cs="Arial"/>
          <w:sz w:val="16"/>
        </w:rPr>
        <w:t>Venues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1.    VIRTU Americas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51.</w:t>
      </w:r>
      <w:r>
        <w:rPr>
          <w:rFonts w:ascii="Arial" w:eastAsia="Arial" w:hAnsi="Arial" w:cs="Arial"/>
          <w:sz w:val="16"/>
        </w:rPr>
        <w:t>25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2.    Citadel Securities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</w:t>
      </w:r>
      <w:r>
        <w:rPr>
          <w:rFonts w:ascii="Arial" w:eastAsia="Arial" w:hAnsi="Arial" w:cs="Arial"/>
          <w:sz w:val="16"/>
        </w:rPr>
        <w:t>rket orders</w:t>
      </w:r>
      <w:r>
        <w:rPr>
          <w:rFonts w:ascii="Arial" w:eastAsia="Arial" w:hAnsi="Arial" w:cs="Arial"/>
          <w:sz w:val="16"/>
        </w:rPr>
        <w:tab/>
      </w:r>
      <w:proofErr w:type="gramStart"/>
      <w:r>
        <w:rPr>
          <w:rFonts w:ascii="Arial" w:eastAsia="Arial" w:hAnsi="Arial" w:cs="Arial"/>
          <w:sz w:val="16"/>
        </w:rPr>
        <w:tab/>
        <w:t xml:space="preserve">  37.50</w:t>
      </w:r>
      <w:proofErr w:type="gramEnd"/>
      <w:r>
        <w:rPr>
          <w:rFonts w:ascii="Arial" w:eastAsia="Arial" w:hAnsi="Arial" w:cs="Arial"/>
          <w:sz w:val="16"/>
        </w:rPr>
        <w:t>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3.    G1 Execution Services,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</w:t>
      </w:r>
      <w:r>
        <w:rPr>
          <w:rFonts w:ascii="Arial" w:eastAsia="Arial" w:hAnsi="Arial" w:cs="Arial"/>
          <w:sz w:val="16"/>
        </w:rPr>
        <w:t>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6.25%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4.    </w:t>
      </w:r>
      <w:proofErr w:type="spellStart"/>
      <w:r>
        <w:rPr>
          <w:rFonts w:ascii="Arial" w:eastAsia="Arial" w:hAnsi="Arial" w:cs="Arial"/>
          <w:sz w:val="16"/>
        </w:rPr>
        <w:t>Cboe</w:t>
      </w:r>
      <w:proofErr w:type="spellEnd"/>
      <w:r>
        <w:rPr>
          <w:rFonts w:ascii="Arial" w:eastAsia="Arial" w:hAnsi="Arial" w:cs="Arial"/>
          <w:sz w:val="16"/>
        </w:rPr>
        <w:t xml:space="preserve"> BYX U.S. Equities Exchange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2.50%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pageBreakBefore/>
        <w:spacing w:after="20"/>
      </w:pPr>
      <w:r>
        <w:rPr>
          <w:rFonts w:ascii="Arial" w:eastAsia="Arial" w:hAnsi="Arial" w:cs="Arial"/>
          <w:sz w:val="16"/>
        </w:rPr>
        <w:lastRenderedPageBreak/>
        <w:cr/>
      </w:r>
      <w:r>
        <w:rPr>
          <w:rFonts w:ascii="Arial" w:eastAsia="Arial" w:hAnsi="Arial" w:cs="Arial"/>
          <w:sz w:val="16"/>
        </w:rPr>
        <w:t xml:space="preserve">    5.    Instinet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1.25%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 xml:space="preserve">  0.00%</w:t>
      </w:r>
    </w:p>
    <w:p w:rsidR="00CA5496" w:rsidRDefault="00F421C1">
      <w:pPr>
        <w:spacing w:after="20"/>
      </w:pPr>
      <w:r>
        <w:rPr>
          <w:rFonts w:ascii="Arial" w:eastAsia="Arial" w:hAnsi="Arial" w:cs="Arial"/>
          <w:sz w:val="16"/>
        </w:rPr>
        <w:cr/>
        <w:t xml:space="preserve">    6.    Two Sigma Securities, LLC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  <w:t xml:space="preserve">            Types of Orders Routed to </w:t>
      </w:r>
      <w:proofErr w:type="gramStart"/>
      <w:r>
        <w:rPr>
          <w:rFonts w:ascii="Arial" w:eastAsia="Arial" w:hAnsi="Arial" w:cs="Arial"/>
          <w:sz w:val="16"/>
        </w:rPr>
        <w:t>Venue :</w:t>
      </w:r>
      <w:proofErr w:type="gramEnd"/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ab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1.25%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Limit orders as percentage of total limit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cr/>
      </w:r>
      <w:r>
        <w:rPr>
          <w:rFonts w:ascii="Arial" w:eastAsia="Arial" w:hAnsi="Arial" w:cs="Arial"/>
          <w:sz w:val="16"/>
        </w:rPr>
        <w:tab/>
        <w:t xml:space="preserve">  Other orders as percentage of t</w:t>
      </w:r>
      <w:r>
        <w:rPr>
          <w:rFonts w:ascii="Arial" w:eastAsia="Arial" w:hAnsi="Arial" w:cs="Arial"/>
          <w:sz w:val="16"/>
        </w:rPr>
        <w:t>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</w:p>
    <w:p w:rsidR="00CA5496" w:rsidRDefault="00F421C1">
      <w:pPr>
        <w:pageBreakBefore/>
        <w:jc w:val="center"/>
      </w:pPr>
      <w:r>
        <w:rPr>
          <w:rFonts w:ascii="Arial" w:eastAsia="Arial" w:hAnsi="Arial" w:cs="Arial"/>
          <w:b/>
          <w:sz w:val="18"/>
          <w:u w:val="single"/>
        </w:rPr>
        <w:lastRenderedPageBreak/>
        <w:t>Exchange - Listed Options</w:t>
      </w:r>
      <w:r>
        <w:rPr>
          <w:rFonts w:ascii="Arial" w:eastAsia="Arial" w:hAnsi="Arial" w:cs="Arial"/>
          <w:b/>
          <w:sz w:val="18"/>
          <w:u w:val="single"/>
        </w:rPr>
        <w:cr/>
      </w:r>
    </w:p>
    <w:p w:rsidR="00CA5496" w:rsidRDefault="00F421C1">
      <w:pPr>
        <w:spacing w:after="20"/>
      </w:pPr>
      <w:r>
        <w:rPr>
          <w:rFonts w:ascii="Arial" w:eastAsia="Arial" w:hAnsi="Arial" w:cs="Arial"/>
          <w:b/>
          <w:sz w:val="16"/>
        </w:rPr>
        <w:t>Summary Statistics:</w:t>
      </w:r>
      <w:r>
        <w:rPr>
          <w:rFonts w:ascii="Arial" w:eastAsia="Arial" w:hAnsi="Arial" w:cs="Arial"/>
          <w:b/>
          <w:sz w:val="16"/>
        </w:rPr>
        <w:br/>
      </w:r>
      <w:r>
        <w:rPr>
          <w:rFonts w:ascii="Arial" w:eastAsia="Arial" w:hAnsi="Arial" w:cs="Arial"/>
          <w:sz w:val="16"/>
        </w:rPr>
        <w:t xml:space="preserve">  Non-directed orders as percentage of total customer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  <w:t xml:space="preserve">  Market orders as percentage of total market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  <w:t xml:space="preserve">  Limit orders as percentage of total lim</w:t>
      </w:r>
      <w:r>
        <w:rPr>
          <w:rFonts w:ascii="Arial" w:eastAsia="Arial" w:hAnsi="Arial" w:cs="Arial"/>
          <w:sz w:val="16"/>
        </w:rPr>
        <w:t>it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  <w:t xml:space="preserve">  Other orders as percentage of total other orders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0.00%</w:t>
      </w:r>
      <w:r>
        <w:rPr>
          <w:rFonts w:ascii="Arial" w:eastAsia="Arial" w:hAnsi="Arial" w:cs="Arial"/>
          <w:sz w:val="16"/>
        </w:rPr>
        <w:br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0"/>
      </w:tblGrid>
      <w:tr w:rsidR="00CA5496">
        <w:tblPrEx>
          <w:tblCellMar>
            <w:top w:w="0" w:type="dxa"/>
            <w:bottom w:w="0" w:type="dxa"/>
          </w:tblCellMar>
        </w:tblPrEx>
        <w:tc>
          <w:tcPr>
            <w:tcW w:w="5570" w:type="dxa"/>
          </w:tcPr>
          <w:p w:rsidR="00CA5496" w:rsidRDefault="00CA5496"/>
        </w:tc>
      </w:tr>
    </w:tbl>
    <w:p w:rsidR="00F421C1" w:rsidRDefault="00F421C1"/>
    <w:sectPr w:rsidR="00F421C1">
      <w:footerReference w:type="default" r:id="rId6"/>
      <w:pgSz w:w="12240" w:h="15840"/>
      <w:pgMar w:top="600" w:right="720" w:bottom="720" w:left="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C1" w:rsidRDefault="00F421C1">
      <w:pPr>
        <w:spacing w:after="0" w:line="240" w:lineRule="auto"/>
      </w:pPr>
      <w:r>
        <w:separator/>
      </w:r>
    </w:p>
  </w:endnote>
  <w:endnote w:type="continuationSeparator" w:id="0">
    <w:p w:rsidR="00F421C1" w:rsidRDefault="00F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6" w:rsidRDefault="00F421C1">
    <w:pPr>
      <w:jc w:val="right"/>
    </w:pPr>
    <w:r>
      <w:t xml:space="preserve">Page </w:t>
    </w:r>
    <w:r>
      <w:pgNum/>
    </w:r>
    <w: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C1" w:rsidRDefault="00F421C1">
      <w:pPr>
        <w:spacing w:after="0" w:line="240" w:lineRule="auto"/>
      </w:pPr>
      <w:r>
        <w:separator/>
      </w:r>
    </w:p>
  </w:footnote>
  <w:footnote w:type="continuationSeparator" w:id="0">
    <w:p w:rsidR="00F421C1" w:rsidRDefault="00F4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496"/>
    <w:rsid w:val="003B34E8"/>
    <w:rsid w:val="00CA5496"/>
    <w:rsid w:val="00F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432FA-1290-4169-A366-CEDAE5F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Hansen, Eric</cp:lastModifiedBy>
  <cp:revision>2</cp:revision>
  <dcterms:created xsi:type="dcterms:W3CDTF">2018-09-22T05:07:00Z</dcterms:created>
  <dcterms:modified xsi:type="dcterms:W3CDTF">2018-09-22T05:07:00Z</dcterms:modified>
</cp:coreProperties>
</file>