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FL2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FSC SECURITIES CORPORATION</w:t>
        <w:cr/>
        <w:t>2300 WINDY RIDGE PARKWAY</w:t>
        <w:cr/>
        <w:t>SUITE 1100</w:t>
        <w:cr/>
        <w:t>ATLANTA, GA 30339</w:t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September 30, 2018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98.72%</w:t>
        <w:br/>
        <w:t xml:space="preserve">  Limit orders as percentage of total limit orders</w:t>
        <w:tab/>
        <w:tab/>
        <w:tab/>
        <w:tab/>
        <w:t xml:space="preserve">    1.28%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44.23%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31.41%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12.18%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7.05%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3.21%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State Street Global Markets,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0.64%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New York Stock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0.64%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0.64%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44.81%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31.17%</w:t>
        <w:cr/>
        <w:tab/>
        <w:t xml:space="preserve">  Limit orders as percentage of total limit orders</w:t>
        <w:tab/>
        <w:tab/>
        <w:tab/>
        <w:t xml:space="preserve">  50.00%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12.34%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7.14%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3.25%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State Street Global Markets,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0.65%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New York Stock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50.00%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0.65%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>100.00%</w:t>
        <w:br/>
        <w:t xml:space="preserve">  Limit orders as percentage of total limit orders</w:t>
        <w:tab/>
        <w:tab/>
        <w:tab/>
        <w:tab/>
        <w:t xml:space="preserve">    0.00%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42.22%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37.78%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11.11%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6.67%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2.22%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42.22%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37.78%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11.11%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6.67%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2.22%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American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98.73%</w:t>
        <w:br/>
        <w:t xml:space="preserve">  Limit orders as percentage of total limit orders</w:t>
        <w:tab/>
        <w:tab/>
        <w:tab/>
        <w:tab/>
        <w:t xml:space="preserve">    1.27%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44.30%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VIRTU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41.77%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6.33%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5.06%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NASDAQ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1.27%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Cboe BYX U.S. Equities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1.27%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44.87%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VIRTU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42.31%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6.41%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5.13%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NASDAQ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>100.00%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Cboe BYX U.S. Equities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1.28%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Statistics:</w:t>
        <w:br/>
      </w: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 xml:space="preserve">    0.00%</w:t>
        <w:br/>
        <w:t xml:space="preserve">  Market orders as percentage of total market orders</w:t>
        <w:tab/>
        <w:tab/>
        <w:tab/>
        <w:t xml:space="preserve">    0.00%</w:t>
        <w:br/>
        <w:t xml:space="preserve">  Limit orders as percentage of total limit orders</w:t>
        <w:tab/>
        <w:tab/>
        <w:tab/>
        <w:tab/>
        <w:t xml:space="preserve">    0.00%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</w:tbl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7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2018-10-03T17:34:50Z</dcterms:created>
  <dc:creator>Apache POI</dc:creator>
</cp:coreProperties>
</file>